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DB18D9" w:rsidTr="009E7CCD">
        <w:tc>
          <w:tcPr>
            <w:tcW w:w="5104" w:type="dxa"/>
          </w:tcPr>
          <w:p w:rsidR="00C15635" w:rsidRPr="00C15635" w:rsidRDefault="00C15635" w:rsidP="00C15635">
            <w:pPr>
              <w:tabs>
                <w:tab w:val="left" w:pos="2775"/>
                <w:tab w:val="center" w:pos="4677"/>
              </w:tabs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ru-RU"/>
              </w:rPr>
              <w:t xml:space="preserve">СОГЛАШЕНИе </w:t>
            </w:r>
            <w:r w:rsidRPr="00C1563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ru-RU"/>
              </w:rPr>
              <w:br/>
              <w:t xml:space="preserve">О РЕАЛИЗАЦИИ ПРОГРАММ АКАДЕМИЧЕСКОГО ОБМЕНА </w:t>
            </w:r>
            <w:r w:rsidRPr="00C15635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ru-RU"/>
              </w:rPr>
              <w:br/>
              <w:t>НАУЧНО-ПЕДАГОГИЧЕСКИМИ РАБОТНИКАМИ</w:t>
            </w:r>
          </w:p>
          <w:p w:rsidR="00C15635" w:rsidRPr="00C15635" w:rsidRDefault="00C15635" w:rsidP="009E7C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между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ХХХ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(г. ХХХ, ХХХ)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ru-RU"/>
              </w:rPr>
              <w:t>федеральным государственным образовательным бюджетным учреждением высшего образования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="009E7CCD"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ФИНАНСОВЫЙ УНИВЕРСИТЕТ</w:t>
            </w:r>
          </w:p>
          <w:p w:rsidR="00C15635" w:rsidRPr="00C15635" w:rsidRDefault="009E7CCD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</w:t>
            </w:r>
          </w:p>
          <w:p w:rsidR="00C15635" w:rsidRPr="00C15635" w:rsidRDefault="009E7CCD" w:rsidP="00C15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ПРАВИТЕЛЬСТВЕ РОССИЙСКОЙ ФЕДЕРАЦИИ</w:t>
            </w:r>
            <w:r w:rsidR="00C15635"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  <w:p w:rsidR="00C15635" w:rsidRPr="00C15635" w:rsidRDefault="00C15635" w:rsidP="00C156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Москва, Россия)</w:t>
            </w:r>
          </w:p>
          <w:p w:rsidR="00CC3F5C" w:rsidRDefault="00CC3F5C" w:rsidP="009E7C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1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TEACHING STAFF EXCHANGE PROGRAM AGREEMENT </w:t>
            </w:r>
          </w:p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15635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1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9E7C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18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between  </w:t>
            </w:r>
          </w:p>
          <w:p w:rsidR="00DB18D9" w:rsidRPr="00CC3F5C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  <w:p w:rsidR="00DB18D9" w:rsidRPr="00CC3F5C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DB18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ХХХ</w:t>
            </w:r>
          </w:p>
          <w:p w:rsidR="00DB18D9" w:rsidRPr="00CC3F5C" w:rsidRDefault="00DB18D9" w:rsidP="00DB18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C3F5C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(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ХХХ</w:t>
            </w:r>
            <w:r w:rsidRPr="00CC3F5C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 xml:space="preserve">,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ХХХ</w:t>
            </w:r>
            <w:r w:rsidRPr="00CC3F5C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)</w:t>
            </w:r>
          </w:p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18D9">
              <w:rPr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</w:p>
          <w:p w:rsidR="00DB18D9" w:rsidRPr="00DB18D9" w:rsidRDefault="00DB18D9" w:rsidP="00DB18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B18D9" w:rsidRPr="00F5160A" w:rsidRDefault="00F5160A" w:rsidP="009E7CCD">
            <w:pPr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US" w:eastAsia="ru-RU"/>
              </w:rPr>
            </w:pPr>
            <w:r w:rsidRPr="00F5160A"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US" w:eastAsia="ru-RU"/>
              </w:rPr>
              <w:t xml:space="preserve">federal state-funded educational institution of higher education </w:t>
            </w:r>
          </w:p>
          <w:p w:rsidR="00DB18D9" w:rsidRDefault="00DB18D9" w:rsidP="00DB18D9">
            <w:pPr>
              <w:spacing w:line="259" w:lineRule="auto"/>
              <w:jc w:val="center"/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 xml:space="preserve">“FINANCIAL UNIVERSITY </w:t>
            </w:r>
          </w:p>
          <w:p w:rsidR="00DB18D9" w:rsidRDefault="00DB18D9" w:rsidP="00DB18D9">
            <w:pPr>
              <w:spacing w:line="259" w:lineRule="auto"/>
              <w:jc w:val="center"/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>UNDER T</w:t>
            </w:r>
            <w:r w:rsidRPr="00DB18D9"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 xml:space="preserve">HE GOVERNMENT </w:t>
            </w:r>
          </w:p>
          <w:p w:rsidR="00DB18D9" w:rsidRPr="00DB18D9" w:rsidRDefault="00DB18D9" w:rsidP="00DB18D9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DB18D9"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>O</w:t>
            </w:r>
            <w:r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>F T</w:t>
            </w:r>
            <w:r w:rsidRPr="00DB18D9">
              <w:rPr>
                <w:rFonts w:ascii="Arial" w:eastAsia="Calibri" w:hAnsi="Arial" w:cs="Arial"/>
                <w:b/>
                <w:smallCaps/>
                <w:sz w:val="20"/>
                <w:szCs w:val="20"/>
                <w:lang w:val="en-US"/>
              </w:rPr>
              <w:t xml:space="preserve">HE RUSSIAN FEDERATION”  </w:t>
            </w:r>
          </w:p>
          <w:p w:rsidR="00DB18D9" w:rsidRPr="009E7CCD" w:rsidRDefault="00DB18D9" w:rsidP="009E7CCD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B18D9">
              <w:rPr>
                <w:rFonts w:ascii="Arial" w:eastAsia="Calibri" w:hAnsi="Arial" w:cs="Arial"/>
                <w:sz w:val="20"/>
                <w:szCs w:val="20"/>
                <w:lang w:val="en-US"/>
              </w:rPr>
              <w:t>(Moscow, Russian Federation)</w:t>
            </w:r>
          </w:p>
        </w:tc>
      </w:tr>
      <w:tr w:rsidR="00DB18D9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целях реализации ранее заключенного Соглашения о сотрудничестве от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ДД.ММ.ГГГГ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ХХХ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лице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ХХХ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действующего на основании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Устава/Доверенности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(далее – «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Партнер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») с одной стороны, и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– «Финансовый университет»), в лице </w:t>
            </w:r>
            <w:r w:rsidR="00743CC6" w:rsidRPr="00743C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проректора по учебной и методической работе Каменевой Екатерины Анатольевны, действующей на основании Доверенности от </w:t>
            </w:r>
            <w:r w:rsidR="00067380">
              <w:rPr>
                <w:rFonts w:ascii="Arial" w:hAnsi="Arial" w:cs="Arial"/>
                <w:sz w:val="20"/>
                <w:szCs w:val="20"/>
              </w:rPr>
              <w:t>01.07.2022</w:t>
            </w:r>
            <w:r w:rsidR="00067380" w:rsidRPr="00D74ED9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067380">
              <w:rPr>
                <w:rFonts w:ascii="Arial" w:hAnsi="Arial" w:cs="Arial"/>
                <w:sz w:val="20"/>
                <w:szCs w:val="20"/>
              </w:rPr>
              <w:t xml:space="preserve"> 253</w:t>
            </w:r>
            <w:r w:rsidR="00067380" w:rsidRPr="00D74ED9">
              <w:rPr>
                <w:rFonts w:ascii="Arial" w:hAnsi="Arial" w:cs="Arial"/>
                <w:sz w:val="20"/>
                <w:szCs w:val="20"/>
              </w:rPr>
              <w:t>/48</w:t>
            </w:r>
            <w:r w:rsidR="00F516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другой стороны, далее совместно именуемые «Стороны», заключили настоящее дополнительное соглашение о реализации программ академического обмена научно-педагогическими работниками (далее – «Соглашение»).</w:t>
            </w:r>
          </w:p>
          <w:p w:rsidR="00CC3F5C" w:rsidRPr="00C15635" w:rsidRDefault="00CC3F5C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B18D9" w:rsidRDefault="00DB18D9" w:rsidP="00DB18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Following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up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Cooperation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D29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|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dd.mm.yy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.</w:t>
            </w:r>
            <w:r w:rsidRPr="00AD29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|__________,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hereinafter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referred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‘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Partner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’)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represented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by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acting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accordance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Charter</w:t>
            </w:r>
            <w:r w:rsidRPr="00AD29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/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Power</w:t>
            </w:r>
            <w:r w:rsidRPr="00AD29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of</w:t>
            </w:r>
            <w:r w:rsidRPr="00AD296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9A18CD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Attorney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one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hand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Federal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State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Funded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Educational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Higher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‘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Financial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under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Government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Federation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’ (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hereinafter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referred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‘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Financial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’), 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represented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by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43CC6" w:rsidRPr="00743CC6">
              <w:rPr>
                <w:rFonts w:ascii="Arial" w:hAnsi="Arial" w:cs="Arial"/>
                <w:sz w:val="20"/>
                <w:szCs w:val="20"/>
                <w:lang w:val="en-US" w:bidi="en-US"/>
              </w:rPr>
              <w:t>Ekaterina A. Kameneva, Vice-Rector for Academic Affairs, acting in accordanc</w:t>
            </w:r>
            <w:r w:rsidR="00067380">
              <w:rPr>
                <w:rFonts w:ascii="Arial" w:hAnsi="Arial" w:cs="Arial"/>
                <w:sz w:val="20"/>
                <w:szCs w:val="20"/>
                <w:lang w:val="en-US" w:bidi="en-US"/>
              </w:rPr>
              <w:t>e with Power of Attorney No. 253</w:t>
            </w:r>
            <w:r w:rsidR="00743CC6" w:rsidRPr="00743CC6">
              <w:rPr>
                <w:rFonts w:ascii="Arial" w:hAnsi="Arial" w:cs="Arial"/>
                <w:sz w:val="20"/>
                <w:szCs w:val="20"/>
                <w:lang w:val="en-US" w:bidi="en-US"/>
              </w:rPr>
              <w:t xml:space="preserve">/48 of </w:t>
            </w:r>
            <w:r w:rsidR="00067380">
              <w:rPr>
                <w:rFonts w:ascii="Arial" w:hAnsi="Arial" w:cs="Arial"/>
                <w:sz w:val="20"/>
                <w:szCs w:val="20"/>
                <w:lang w:val="en-US" w:bidi="en-US"/>
              </w:rPr>
              <w:t>01</w:t>
            </w:r>
            <w:r w:rsidR="00BD6461">
              <w:rPr>
                <w:rFonts w:ascii="Arial" w:hAnsi="Arial" w:cs="Arial"/>
                <w:sz w:val="20"/>
                <w:szCs w:val="20"/>
                <w:lang w:val="en-US" w:bidi="en-US"/>
              </w:rPr>
              <w:t xml:space="preserve"> </w:t>
            </w:r>
            <w:r w:rsidR="00067380">
              <w:rPr>
                <w:rFonts w:ascii="Arial" w:hAnsi="Arial" w:cs="Arial"/>
                <w:sz w:val="20"/>
                <w:szCs w:val="20"/>
                <w:lang w:val="en-US" w:bidi="en-US"/>
              </w:rPr>
              <w:t>July 2022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hand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hereinafter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collectively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referred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”, </w:t>
            </w:r>
            <w:r w:rsidRPr="009B0684">
              <w:rPr>
                <w:rFonts w:ascii="Arial" w:hAnsi="Arial" w:cs="Arial"/>
                <w:sz w:val="20"/>
                <w:szCs w:val="20"/>
                <w:lang w:val="en-US"/>
              </w:rPr>
              <w:t>have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entered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into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amendment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(hereinafter referred to as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‘Agreement’)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840F9" w:rsidRDefault="004840F9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B18D9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Статья 1. Определения</w:t>
            </w:r>
          </w:p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рамках настоящего Соглашения:</w:t>
            </w:r>
          </w:p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18D9" w:rsidRPr="00C15635" w:rsidRDefault="00C15635" w:rsidP="00C156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«направляющая образовательная организация» означает образовательную организацию, заключившую трудовой договор с научно-педагогическим работником;</w:t>
            </w:r>
          </w:p>
        </w:tc>
        <w:tc>
          <w:tcPr>
            <w:tcW w:w="5386" w:type="dxa"/>
          </w:tcPr>
          <w:p w:rsidR="00DB18D9" w:rsidRDefault="00DB18D9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AD29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Definitions</w:t>
            </w:r>
          </w:p>
          <w:p w:rsidR="00C15635" w:rsidRPr="00AD296B" w:rsidRDefault="00C15635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B18D9" w:rsidRDefault="00DB18D9" w:rsidP="00DB18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In this Agreement:</w:t>
            </w:r>
          </w:p>
          <w:p w:rsidR="00DB18D9" w:rsidRPr="00AD296B" w:rsidRDefault="00DB18D9" w:rsidP="00DB18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18D9" w:rsidRDefault="00DB18D9" w:rsidP="00DB18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'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Home 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is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education i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nstitution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that has concluded an employment agreement with a teaching staff member; </w:t>
            </w:r>
          </w:p>
          <w:p w:rsidR="00DB18D9" w:rsidRPr="00637880" w:rsidRDefault="00DB18D9" w:rsidP="00DB18D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840F9" w:rsidRPr="00DB18D9" w:rsidRDefault="004840F9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«принимающая образовательная организация» означает образовательную организацию, которая согласилась принять научно-педагогического работника для проведения учебных занятий, участия в научных мероприятиях или иных целях в рамках настоящего Соглашения.</w:t>
            </w:r>
          </w:p>
          <w:p w:rsidR="00C15635" w:rsidRPr="00C15635" w:rsidRDefault="00C15635" w:rsidP="00C1563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‘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Host 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is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education i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nstitution that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ready to 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receive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 staff member for the purposes of teaching, participating in a research event or other purposes within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Agreement</w:t>
            </w:r>
            <w:r w:rsidRPr="00AD296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C15635" w:rsidRPr="00C15635" w:rsidRDefault="00C15635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B18D9" w:rsidTr="009E7CCD">
        <w:tc>
          <w:tcPr>
            <w:tcW w:w="5104" w:type="dxa"/>
          </w:tcPr>
          <w:p w:rsidR="00C15635" w:rsidRPr="00916B56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Статья 2</w:t>
            </w:r>
            <w:r w:rsidRPr="00916B56">
              <w:rPr>
                <w:rFonts w:ascii="Arial" w:hAnsi="Arial" w:cs="Arial"/>
                <w:b/>
                <w:sz w:val="20"/>
                <w:szCs w:val="20"/>
              </w:rPr>
              <w:t>. Предмет соглашения</w:t>
            </w:r>
          </w:p>
          <w:p w:rsidR="00DB18D9" w:rsidRPr="00C15635" w:rsidRDefault="00DB18D9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B18D9" w:rsidRDefault="00DB18D9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8503C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Subject of the Agreement </w:t>
            </w:r>
          </w:p>
          <w:p w:rsidR="004840F9" w:rsidRDefault="004840F9" w:rsidP="00DB18D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eastAsia="MS ??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MS ??" w:hAnsi="Arial"/>
                <w:sz w:val="20"/>
              </w:rPr>
              <w:t>В рамках настоящего Соглашения</w:t>
            </w:r>
            <w:r w:rsidRPr="00BF56E4">
              <w:rPr>
                <w:rFonts w:ascii="Arial" w:eastAsia="MS ??" w:hAnsi="Arial"/>
                <w:sz w:val="20"/>
              </w:rPr>
              <w:t xml:space="preserve"> </w:t>
            </w:r>
            <w:r>
              <w:rPr>
                <w:rFonts w:ascii="Arial" w:eastAsia="MS ??" w:hAnsi="Arial"/>
                <w:sz w:val="20"/>
              </w:rPr>
              <w:t>Стороны соглашаются организовывать программы академического обмена научно-педагогическими работниками</w:t>
            </w:r>
            <w:r w:rsidRPr="00BF56E4">
              <w:rPr>
                <w:rFonts w:ascii="Arial" w:eastAsia="MS ??" w:hAnsi="Arial"/>
                <w:sz w:val="20"/>
              </w:rPr>
              <w:t xml:space="preserve"> для </w:t>
            </w:r>
            <w:r>
              <w:rPr>
                <w:rFonts w:ascii="Arial" w:eastAsia="MS ??" w:hAnsi="Arial"/>
                <w:sz w:val="20"/>
              </w:rPr>
              <w:t>проведения учебных занятий, участия в научных мероприятиях и иных целях в</w:t>
            </w:r>
            <w:r w:rsidRPr="00BF56E4">
              <w:rPr>
                <w:rFonts w:ascii="Arial" w:eastAsia="MS ??" w:hAnsi="Arial"/>
                <w:sz w:val="20"/>
              </w:rPr>
              <w:t xml:space="preserve"> </w:t>
            </w:r>
            <w:r>
              <w:rPr>
                <w:rFonts w:ascii="Arial" w:eastAsia="MS ??" w:hAnsi="Arial"/>
                <w:sz w:val="20"/>
              </w:rPr>
              <w:t xml:space="preserve">принимающей образовательной организации на </w:t>
            </w:r>
            <w:r w:rsidRPr="00BF56E4">
              <w:rPr>
                <w:rFonts w:ascii="Arial" w:eastAsia="MS ??" w:hAnsi="Arial"/>
                <w:sz w:val="20"/>
              </w:rPr>
              <w:t>период от одной недели до одн</w:t>
            </w:r>
            <w:r>
              <w:rPr>
                <w:rFonts w:ascii="Arial" w:eastAsia="MS ??" w:hAnsi="Arial"/>
                <w:sz w:val="20"/>
              </w:rPr>
              <w:t xml:space="preserve">ого семестра. 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DB18D9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2.1.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Under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launch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programs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purposes</w:t>
            </w:r>
            <w:r w:rsidRPr="00DB039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teaching, participating in a research event or other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events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 the Host Institution premises within the period ranging from one week to one semester. </w:t>
            </w:r>
            <w:r w:rsidRPr="00DB039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916B56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2.2. </w:t>
            </w:r>
            <w:r w:rsidRPr="00916B56">
              <w:rPr>
                <w:rFonts w:ascii="Arial" w:hAnsi="Arial" w:cs="Arial"/>
                <w:sz w:val="20"/>
                <w:szCs w:val="20"/>
              </w:rPr>
              <w:t xml:space="preserve">Целью </w:t>
            </w:r>
            <w:r>
              <w:rPr>
                <w:rFonts w:ascii="Arial" w:hAnsi="Arial" w:cs="Arial"/>
                <w:sz w:val="20"/>
                <w:szCs w:val="20"/>
              </w:rPr>
              <w:t>реализации программ академического обмена</w:t>
            </w:r>
            <w:r w:rsidRPr="00916B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научно-педагогическими работниками</w:t>
            </w:r>
            <w:r w:rsidRPr="00916B56">
              <w:rPr>
                <w:rFonts w:ascii="Arial" w:hAnsi="Arial" w:cs="Arial"/>
                <w:sz w:val="20"/>
                <w:szCs w:val="20"/>
              </w:rPr>
              <w:t xml:space="preserve"> является содействие развитию совместных научных исследований и </w:t>
            </w:r>
            <w:r>
              <w:rPr>
                <w:rFonts w:ascii="Arial" w:hAnsi="Arial" w:cs="Arial"/>
                <w:sz w:val="20"/>
                <w:szCs w:val="20"/>
              </w:rPr>
              <w:t>образовательных программ</w:t>
            </w:r>
            <w:r w:rsidRPr="00916B56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>
              <w:rPr>
                <w:rFonts w:ascii="Arial" w:hAnsi="Arial" w:cs="Arial"/>
                <w:sz w:val="20"/>
                <w:szCs w:val="20"/>
              </w:rPr>
              <w:t>укрепление сотрудничества между Сторонами</w:t>
            </w:r>
            <w:r w:rsidRPr="00916B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DB18D9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2.2.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goal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teaching staff exchange programs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facilitate</w:t>
            </w:r>
            <w:r w:rsidRPr="006636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joint research, contribute to further development of joint programs of study and strengthen bilateral cooperation. 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9623C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23C5">
              <w:rPr>
                <w:rFonts w:ascii="Arial" w:hAnsi="Arial" w:cs="Arial"/>
                <w:b/>
                <w:sz w:val="20"/>
                <w:szCs w:val="20"/>
              </w:rPr>
              <w:t>Статья 3. Условия реализации программы</w:t>
            </w:r>
          </w:p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5635" w:rsidRPr="005F4A92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1718F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Terms and Conditions of the Exchange Program 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Pr="00E1328A">
              <w:rPr>
                <w:rFonts w:ascii="Arial" w:hAnsi="Arial" w:cs="Arial"/>
                <w:sz w:val="20"/>
                <w:szCs w:val="20"/>
              </w:rPr>
              <w:t xml:space="preserve">Каждая образовательная организация готова ежегодно направлять своих </w:t>
            </w:r>
            <w:r>
              <w:rPr>
                <w:rFonts w:ascii="Arial" w:hAnsi="Arial" w:cs="Arial"/>
                <w:sz w:val="20"/>
                <w:szCs w:val="20"/>
              </w:rPr>
              <w:t>научно-педагогических работников</w:t>
            </w:r>
            <w:r w:rsidRPr="00E1328A">
              <w:rPr>
                <w:rFonts w:ascii="Arial" w:hAnsi="Arial" w:cs="Arial"/>
                <w:sz w:val="20"/>
                <w:szCs w:val="20"/>
              </w:rPr>
              <w:t xml:space="preserve"> и принимать такое же количество </w:t>
            </w:r>
            <w:r>
              <w:rPr>
                <w:rFonts w:ascii="Arial" w:hAnsi="Arial" w:cs="Arial"/>
                <w:sz w:val="20"/>
                <w:szCs w:val="20"/>
              </w:rPr>
              <w:t>научно-педагогических работников</w:t>
            </w:r>
            <w:r w:rsidRPr="00E1328A">
              <w:rPr>
                <w:rFonts w:ascii="Arial" w:hAnsi="Arial" w:cs="Arial"/>
                <w:sz w:val="20"/>
                <w:szCs w:val="20"/>
              </w:rPr>
              <w:t xml:space="preserve"> в порядке обмена.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3.1.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Each</w:t>
            </w: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intends</w:t>
            </w: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send its teaching staff members and receive an equal number of teaching staff members every year within the Exchange Program. </w:t>
            </w:r>
            <w:r w:rsidRPr="003960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3.2. Стороны признают, что </w:t>
            </w:r>
            <w:r w:rsidRPr="00E1328A">
              <w:rPr>
                <w:rFonts w:ascii="Arial" w:hAnsi="Arial" w:cs="Arial"/>
                <w:sz w:val="20"/>
                <w:szCs w:val="20"/>
              </w:rPr>
              <w:t xml:space="preserve">целью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настоящего Соглашения </w:t>
            </w:r>
            <w:r w:rsidRPr="00E1328A">
              <w:rPr>
                <w:rFonts w:ascii="Arial" w:hAnsi="Arial" w:cs="Arial"/>
                <w:sz w:val="20"/>
                <w:szCs w:val="20"/>
              </w:rPr>
              <w:t>является паритетный обмен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научно-педагогическими работниками. Стороны будут прилагать </w:t>
            </w:r>
            <w:r w:rsidRPr="00E1328A">
              <w:rPr>
                <w:rFonts w:ascii="Arial" w:hAnsi="Arial" w:cs="Arial"/>
                <w:sz w:val="20"/>
                <w:szCs w:val="20"/>
              </w:rPr>
              <w:t>все усилия к тому, чтобы пари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тет был соблюден применительно </w:t>
            </w:r>
            <w:r w:rsidRPr="00E1328A">
              <w:rPr>
                <w:rFonts w:ascii="Arial" w:hAnsi="Arial" w:cs="Arial"/>
                <w:sz w:val="20"/>
                <w:szCs w:val="20"/>
              </w:rPr>
              <w:t xml:space="preserve">к периоду в </w:t>
            </w:r>
            <w:r>
              <w:rPr>
                <w:rFonts w:ascii="Arial" w:hAnsi="Arial" w:cs="Arial"/>
                <w:sz w:val="20"/>
                <w:szCs w:val="20"/>
              </w:rPr>
              <w:t>два (2</w:t>
            </w:r>
            <w:r w:rsidRPr="00E1328A">
              <w:rPr>
                <w:rFonts w:ascii="Arial" w:hAnsi="Arial" w:cs="Arial"/>
                <w:sz w:val="20"/>
                <w:szCs w:val="20"/>
              </w:rPr>
              <w:t>) учебных года.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7B27DC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BC8">
              <w:rPr>
                <w:rFonts w:ascii="Arial" w:hAnsi="Arial" w:cs="Arial"/>
                <w:sz w:val="20"/>
                <w:szCs w:val="20"/>
                <w:lang w:val="en-US"/>
              </w:rPr>
              <w:t xml:space="preserve">3.2.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316B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316B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acknowledge that the goal of this Agreement is to facilitate equal exchange of the teaching staff members between the Parties. </w:t>
            </w:r>
            <w:r w:rsidRPr="00B572A5">
              <w:rPr>
                <w:rFonts w:ascii="Arial" w:hAnsi="Arial" w:cs="Arial"/>
                <w:sz w:val="20"/>
                <w:szCs w:val="20"/>
                <w:lang w:val="en-US"/>
              </w:rPr>
              <w:t xml:space="preserve">The Parties shall use their endeavors to achieve a balance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 staff</w:t>
            </w:r>
            <w:r w:rsidRPr="00B572A5">
              <w:rPr>
                <w:rFonts w:ascii="Arial" w:hAnsi="Arial" w:cs="Arial"/>
                <w:sz w:val="20"/>
                <w:szCs w:val="20"/>
                <w:lang w:val="en-US"/>
              </w:rPr>
              <w:t xml:space="preserve"> exchange numbers over the </w:t>
            </w:r>
            <w:r w:rsidRPr="00B05A32">
              <w:rPr>
                <w:rFonts w:ascii="Arial" w:hAnsi="Arial" w:cs="Arial"/>
                <w:sz w:val="20"/>
                <w:szCs w:val="20"/>
                <w:lang w:val="en-US"/>
              </w:rPr>
              <w:t xml:space="preserve">period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two</w:t>
            </w:r>
            <w:r w:rsidRPr="00B05A3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05A32">
              <w:rPr>
                <w:rFonts w:ascii="Arial" w:hAnsi="Arial" w:cs="Arial"/>
                <w:sz w:val="20"/>
                <w:szCs w:val="20"/>
                <w:lang w:val="en-US"/>
              </w:rPr>
              <w:t xml:space="preserve">) academic years.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Pr="00CC3F5C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Стороны признают, что основанием для участия научно-педагогических работников в программе академического обмена является планируемое проведение учебных занятий в принимающей образовательной организации. Участие в научных мероприятиях, проведение переговоров о сотрудничестве, а также иные цели не могут выступать в качестве самостоятельного основания для участия научно-педагогического работника в программе академического обмена.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D4625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066A">
              <w:rPr>
                <w:rFonts w:ascii="Arial" w:hAnsi="Arial" w:cs="Arial"/>
                <w:sz w:val="20"/>
                <w:szCs w:val="20"/>
                <w:lang w:val="en-US"/>
              </w:rPr>
              <w:t xml:space="preserve">3.3.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6906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6906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acknowledge</w:t>
            </w:r>
            <w:r w:rsidRPr="006906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 w:rsidRPr="006906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grounds for eligibility for participation in the exchange program   shall be the planned teaching activities of a teaching staff member in the Host Institution. Participation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research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events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conducting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cooperation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negotiations and similar activities shall not be considered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be </w:t>
            </w:r>
            <w:r w:rsidRPr="00550327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proofErr w:type="gramEnd"/>
            <w:r w:rsidRPr="00550327">
              <w:rPr>
                <w:rFonts w:ascii="Arial" w:hAnsi="Arial" w:cs="Arial"/>
                <w:sz w:val="20"/>
                <w:szCs w:val="20"/>
                <w:lang w:val="en-US"/>
              </w:rPr>
              <w:t xml:space="preserve"> grounds for eligibility for particip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 in the exchange program.</w:t>
            </w:r>
            <w:r w:rsidRPr="00C8323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 Кандидатуры научно-педагогических работников, участвующих в программах академического обмена, подлежат утверждению Сторонами путем переговоров между структурными подразделениями Сторон, ответственных за реализацию программы.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9A5EFA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45D">
              <w:rPr>
                <w:rFonts w:ascii="Arial" w:hAnsi="Arial" w:cs="Arial"/>
                <w:sz w:val="20"/>
                <w:szCs w:val="20"/>
                <w:lang w:val="en-US"/>
              </w:rPr>
              <w:t xml:space="preserve">3.4.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5144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list</w:t>
            </w:r>
            <w:r w:rsidRPr="005144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5144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exchange program participants is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subject to approval by the Parties through negotiations between the Parties’ departments in charge of the program coordination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5144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Стороны соглашаются реализовывать программу академического обмена научно-педагогическими работниками на следующих финансовых условиях: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9A5EFA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3.5.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meet the following financial terms when launching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program:</w:t>
            </w:r>
            <w:r w:rsidRPr="009A5E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3.5.1. Транспортные расходы на направление научно-педагогических работников</w:t>
            </w:r>
            <w:r w:rsidR="008B3AB8">
              <w:rPr>
                <w:rFonts w:ascii="Arial" w:hAnsi="Arial" w:cs="Arial"/>
                <w:sz w:val="20"/>
                <w:szCs w:val="20"/>
              </w:rPr>
              <w:t xml:space="preserve"> (при наличии соответствующих расходов)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23C5">
              <w:rPr>
                <w:rFonts w:ascii="Arial" w:hAnsi="Arial" w:cs="Arial"/>
                <w:sz w:val="20"/>
                <w:szCs w:val="20"/>
              </w:rPr>
              <w:t xml:space="preserve"> а также иные виды расходов, возникающие в связи с участием научно-педагогических работников в программе академического обмена,</w:t>
            </w:r>
            <w:r>
              <w:rPr>
                <w:rFonts w:ascii="Arial" w:hAnsi="Arial" w:cs="Arial"/>
                <w:sz w:val="20"/>
                <w:szCs w:val="20"/>
              </w:rPr>
              <w:t xml:space="preserve"> осуществляются за счет направляющей образовательной организации.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95223F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3.5.1.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Home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shall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charge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covering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transportation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expenses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incurred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during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members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period</w:t>
            </w:r>
            <w:r w:rsidR="008B3AB8" w:rsidRPr="008B3AB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8B3AB8">
              <w:rPr>
                <w:rFonts w:ascii="Arial" w:hAnsi="Arial" w:cs="Arial"/>
                <w:sz w:val="20"/>
                <w:szCs w:val="20"/>
                <w:lang w:val="en-US"/>
              </w:rPr>
              <w:t>if applicable)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expenses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arising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their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participation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program.</w:t>
            </w:r>
            <w:r w:rsidRPr="0095223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 Расходы на проживание научно-педагогических работников</w:t>
            </w:r>
            <w:r w:rsidR="008B3AB8" w:rsidRPr="008B3A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3AB8">
              <w:rPr>
                <w:rFonts w:ascii="Arial" w:hAnsi="Arial" w:cs="Arial"/>
                <w:sz w:val="20"/>
                <w:szCs w:val="20"/>
              </w:rPr>
              <w:t>при наличии соответствующих расходов)</w:t>
            </w:r>
            <w:r w:rsidR="008B3AB8" w:rsidRPr="008B3A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осуществляются за счет принимающей образовательной организации.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7B7FDA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3.5.2. </w:t>
            </w:r>
            <w:r w:rsidRPr="007B7FDA">
              <w:rPr>
                <w:rFonts w:ascii="Arial" w:hAnsi="Arial" w:cs="Arial"/>
                <w:sz w:val="20"/>
                <w:szCs w:val="20"/>
                <w:lang w:val="en-US"/>
              </w:rPr>
              <w:t>The 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ost</w:t>
            </w:r>
            <w:r w:rsidRPr="007B7FDA">
              <w:rPr>
                <w:rFonts w:ascii="Arial" w:hAnsi="Arial" w:cs="Arial"/>
                <w:sz w:val="20"/>
                <w:szCs w:val="20"/>
                <w:lang w:val="en-US"/>
              </w:rPr>
              <w:t xml:space="preserve"> Institution shall be in charge of covering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accommodation</w:t>
            </w:r>
            <w:r w:rsidRPr="007B7FDA">
              <w:rPr>
                <w:rFonts w:ascii="Arial" w:hAnsi="Arial" w:cs="Arial"/>
                <w:sz w:val="20"/>
                <w:szCs w:val="20"/>
                <w:lang w:val="en-US"/>
              </w:rPr>
              <w:t xml:space="preserve"> expenses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exchange program participants</w:t>
            </w:r>
            <w:r w:rsidR="008B3AB8">
              <w:rPr>
                <w:rFonts w:ascii="Arial" w:hAnsi="Arial" w:cs="Arial"/>
                <w:sz w:val="20"/>
                <w:szCs w:val="20"/>
                <w:lang w:val="en-US"/>
              </w:rPr>
              <w:t xml:space="preserve"> if applicable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7B7F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3.5.3. Проведение учебных занятий в принимающей образовательной организации осуществляется на безвозмездной основе.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3.5.3.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members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will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not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receive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payment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instruction performed in the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Host</w:t>
            </w:r>
            <w:r w:rsidRPr="00953B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Institution.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E1328A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3.6. Стороны соглашаются рассмотреть возможность изменения условий реализации программы академического обмена научно-педагогическими работниками, изложенных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3.5.1. – 3.5.3., в отношении отдельных участников программы академического обмена по письменному запросу направляющей образовательной организации.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2C208B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3.6.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consider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possibility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changing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terms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described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3.5.1.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3.5.2, and</w:t>
            </w:r>
            <w:r w:rsidRPr="00546826">
              <w:rPr>
                <w:rFonts w:ascii="Arial" w:hAnsi="Arial" w:cs="Arial"/>
                <w:sz w:val="20"/>
                <w:szCs w:val="20"/>
                <w:lang w:val="en-US"/>
              </w:rPr>
              <w:t xml:space="preserve"> 3.5.3.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above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some program participants, </w:t>
            </w:r>
            <w:r w:rsidRPr="002C208B">
              <w:rPr>
                <w:rFonts w:ascii="Arial" w:hAnsi="Arial" w:cs="Arial"/>
                <w:sz w:val="20"/>
                <w:szCs w:val="20"/>
                <w:lang w:val="en-US"/>
              </w:rPr>
              <w:t xml:space="preserve">subject to a written request being submitted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by the Home Institution.  </w:t>
            </w:r>
          </w:p>
          <w:p w:rsidR="00C15635" w:rsidRDefault="00C15635" w:rsidP="00C1563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 Настоящее Соглашение не регулирует трудовые отношения между работниками Сторон и соответствующей образовательной организацией – работодателем.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C01407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3.7.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shall</w:t>
            </w: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not</w:t>
            </w: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regulate</w:t>
            </w:r>
            <w:r w:rsidRPr="007710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labor relation between the Parties’ employees and the relevant education institution that acts as an employer.  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635">
              <w:rPr>
                <w:rFonts w:ascii="Arial" w:hAnsi="Arial" w:cs="Arial"/>
                <w:b/>
                <w:sz w:val="20"/>
                <w:szCs w:val="20"/>
              </w:rPr>
              <w:t>Статья 4. Требования к участникам программы академического обмена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C0140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Exchange</w:t>
            </w:r>
            <w:r w:rsidRPr="00F201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</w:t>
            </w:r>
            <w:r w:rsidRPr="00F201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Participant</w:t>
            </w:r>
            <w:r w:rsidRPr="00F201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Eligibility Criteria 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>4.1. Стороны соглашаются установить конкретные требования к участникам программы академического обмена в зависимости от цели академической мобильности научно-педагогических работников. Данные требования подлежат обсуждению и согласованию Сторонами путем переговоров перед началом очередного учебного года.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C75A23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0126">
              <w:rPr>
                <w:rFonts w:ascii="Arial" w:hAnsi="Arial" w:cs="Arial"/>
                <w:sz w:val="20"/>
                <w:szCs w:val="20"/>
                <w:lang w:val="en-US"/>
              </w:rPr>
              <w:t xml:space="preserve">4.1.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Parties agree to compile a list of requirements to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be met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by the exchange program participants.  The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requirements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will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depend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academic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mobility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goals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list of requirements is subject to approval through negotiations of the Parties before the academic year starting date.  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64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>4.2. Предполагается, что научно- педагогические работники, участвующие в программе академического обмена с целью проведения учебных занятий в принимающей образовательной организации, должны соответствовать следующим требованиям в отношении языковых компетенций: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AE56E3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4.2.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assumed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members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who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wish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participate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program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purposes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Host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Institution meet the following language proficiency requirements: </w:t>
            </w:r>
            <w:r w:rsidRPr="00C7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>4.2.1.  Научно-педагогическим работникам, планирующим проводить учебные занятия в Финансовом университете на русском языке, необходимо подтвердить факт владения русским языком в достаточной степени для проведения учебных занятий. Достаточная степень владения русским языком соответствует уровню С1 в рамках Общеевропейских компетенций владения иностранным языком: изучение, преподавание, оценка (</w:t>
            </w:r>
            <w:r w:rsidRPr="00C15635">
              <w:rPr>
                <w:rFonts w:ascii="Arial" w:hAnsi="Arial" w:cs="Arial"/>
                <w:sz w:val="20"/>
                <w:szCs w:val="20"/>
                <w:lang w:val="en-US"/>
              </w:rPr>
              <w:t>CEFR</w:t>
            </w:r>
            <w:r w:rsidRPr="00C15635">
              <w:rPr>
                <w:rFonts w:ascii="Arial" w:hAnsi="Arial" w:cs="Arial"/>
                <w:sz w:val="20"/>
                <w:szCs w:val="20"/>
              </w:rPr>
              <w:t xml:space="preserve">) и может быть подтверждена международным языковым сертификатом или справкой, </w:t>
            </w:r>
            <w:r w:rsidR="00E04D77">
              <w:rPr>
                <w:rFonts w:ascii="Arial" w:hAnsi="Arial" w:cs="Arial"/>
                <w:sz w:val="20"/>
                <w:szCs w:val="20"/>
              </w:rPr>
              <w:t>вы</w:t>
            </w:r>
            <w:r w:rsidRPr="00C15635">
              <w:rPr>
                <w:rFonts w:ascii="Arial" w:hAnsi="Arial" w:cs="Arial"/>
                <w:sz w:val="20"/>
                <w:szCs w:val="20"/>
              </w:rPr>
              <w:t>данной Партнером.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1908D9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9E6">
              <w:rPr>
                <w:rFonts w:ascii="Arial" w:hAnsi="Arial" w:cs="Arial"/>
                <w:sz w:val="20"/>
                <w:szCs w:val="20"/>
                <w:lang w:val="en-US"/>
              </w:rPr>
              <w:t>4.2.1.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125EE4">
              <w:rPr>
                <w:rFonts w:ascii="Arial" w:hAnsi="Arial" w:cs="Arial"/>
                <w:sz w:val="20"/>
                <w:szCs w:val="20"/>
                <w:lang w:val="en-US"/>
              </w:rPr>
              <w:t>teaching staff members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who wish to choose the Russian language as the language of instruction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when teaching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at the Financial University shall confirm that their Russian language skills are sufficient for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the course. The sufficient proficiency level of the Russian language shall be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C1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level as per the Common European Framework of Reference for Languages: Learning, Teaching, </w:t>
            </w:r>
            <w:proofErr w:type="gramStart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>Assessment</w:t>
            </w:r>
            <w:proofErr w:type="gramEnd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(CEFR). This may be confirmed by an international language certificate or a certificate issued by the Partner 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 xml:space="preserve">4.2.2. Научно-педагогическим работникам, планирующим проводить учебные занятия в Финансовом университете на английском языке, необходимо подтвердить факт владения английским языком в достаточной степени для проведения учебных занятий. Достаточная степень владения английским языком соответствует уровню </w:t>
            </w:r>
            <w:r w:rsidRPr="00C15635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C15635">
              <w:rPr>
                <w:rFonts w:ascii="Arial" w:hAnsi="Arial" w:cs="Arial"/>
                <w:sz w:val="20"/>
                <w:szCs w:val="20"/>
              </w:rPr>
              <w:t>1 в рамках Общеевропейских компетенций владения иностранным языком: изучение, преподавание, оценка (</w:t>
            </w:r>
            <w:r w:rsidRPr="00C15635">
              <w:rPr>
                <w:rFonts w:ascii="Arial" w:hAnsi="Arial" w:cs="Arial"/>
                <w:sz w:val="20"/>
                <w:szCs w:val="20"/>
                <w:lang w:val="en-US"/>
              </w:rPr>
              <w:t>CEFR</w:t>
            </w:r>
            <w:r w:rsidRPr="00C15635">
              <w:rPr>
                <w:rFonts w:ascii="Arial" w:hAnsi="Arial" w:cs="Arial"/>
                <w:sz w:val="20"/>
                <w:szCs w:val="20"/>
              </w:rPr>
              <w:t xml:space="preserve">) и может быть подтверждена международным языковым сертификатом или справкой, </w:t>
            </w:r>
            <w:r w:rsidR="00E04D77">
              <w:rPr>
                <w:rFonts w:ascii="Arial" w:hAnsi="Arial" w:cs="Arial"/>
                <w:sz w:val="20"/>
                <w:szCs w:val="20"/>
              </w:rPr>
              <w:t>вы</w:t>
            </w:r>
            <w:r w:rsidRPr="00C15635">
              <w:rPr>
                <w:rFonts w:ascii="Arial" w:hAnsi="Arial" w:cs="Arial"/>
                <w:sz w:val="20"/>
                <w:szCs w:val="20"/>
              </w:rPr>
              <w:t>данной Партнером, если научно-педагогический работник осуществляет проведение учебных занятий на английском языке в Партнере.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1908D9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8A3">
              <w:rPr>
                <w:rFonts w:ascii="Arial" w:hAnsi="Arial" w:cs="Arial"/>
                <w:sz w:val="20"/>
                <w:szCs w:val="20"/>
                <w:lang w:val="en-US"/>
              </w:rPr>
              <w:t xml:space="preserve">4.2.2.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0E29E6">
              <w:rPr>
                <w:rFonts w:ascii="Arial" w:hAnsi="Arial" w:cs="Arial"/>
                <w:sz w:val="20"/>
                <w:szCs w:val="20"/>
                <w:lang w:val="en-US"/>
              </w:rPr>
              <w:t>teaching staff members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who wish to choose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as the language of instruction </w:t>
            </w:r>
            <w:r w:rsidRPr="000E29E6">
              <w:rPr>
                <w:rFonts w:ascii="Arial" w:hAnsi="Arial" w:cs="Arial"/>
                <w:sz w:val="20"/>
                <w:szCs w:val="20"/>
                <w:lang w:val="en-US"/>
              </w:rPr>
              <w:t xml:space="preserve">when teaching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at the Financial University shall confirm that their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skills are sufficient for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the course. The sufficient proficiency level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shall be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C1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level as per the Common European Framework of Reference for Languages: Learning, Teaching, </w:t>
            </w:r>
            <w:proofErr w:type="gramStart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>Assessment</w:t>
            </w:r>
            <w:proofErr w:type="gramEnd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(CEFR). This may be confirmed by an international language certificate or a certificate issued by the Partner 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if the </w:t>
            </w:r>
            <w:r w:rsidRPr="002438A3">
              <w:rPr>
                <w:rFonts w:ascii="Arial" w:hAnsi="Arial" w:cs="Arial"/>
                <w:sz w:val="20"/>
                <w:szCs w:val="20"/>
                <w:lang w:val="en-US"/>
              </w:rPr>
              <w:t>teaching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staff member teaches in the English language on the Partner institution’s premises.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>4.2.3. Научно-педагогическим работникам, планирующим проводить учебные занятия в Партнере на __________ языке, необходимо подтвердить факт владения _________ языком в достаточной степени для проведения учебных занятий. Достаточная степень владения ________ языком соответствует уровню С1 в рамках Общеевропейских компетенций владения иностранным языком: изучение, преподавание, оценка (</w:t>
            </w:r>
            <w:r w:rsidRPr="00C15635">
              <w:rPr>
                <w:rFonts w:ascii="Arial" w:hAnsi="Arial" w:cs="Arial"/>
                <w:sz w:val="20"/>
                <w:szCs w:val="20"/>
                <w:lang w:val="en-US"/>
              </w:rPr>
              <w:t>CEFR</w:t>
            </w:r>
            <w:r w:rsidRPr="00C15635">
              <w:rPr>
                <w:rFonts w:ascii="Arial" w:hAnsi="Arial" w:cs="Arial"/>
                <w:sz w:val="20"/>
                <w:szCs w:val="20"/>
              </w:rPr>
              <w:t>) и может быть подтверждена международным языко</w:t>
            </w:r>
            <w:r w:rsidR="00E04D77">
              <w:rPr>
                <w:rFonts w:ascii="Arial" w:hAnsi="Arial" w:cs="Arial"/>
                <w:sz w:val="20"/>
                <w:szCs w:val="20"/>
              </w:rPr>
              <w:t>вым сертификатом или справкой, вы</w:t>
            </w:r>
            <w:r w:rsidRPr="00C15635">
              <w:rPr>
                <w:rFonts w:ascii="Arial" w:hAnsi="Arial" w:cs="Arial"/>
                <w:sz w:val="20"/>
                <w:szCs w:val="20"/>
              </w:rPr>
              <w:t>данной Финансовым университетом.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5714">
              <w:rPr>
                <w:rFonts w:ascii="Arial" w:hAnsi="Arial" w:cs="Arial"/>
                <w:sz w:val="20"/>
                <w:szCs w:val="20"/>
                <w:lang w:val="en-US"/>
              </w:rPr>
              <w:t xml:space="preserve">4.2.3. 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The teaching staff members who wish to choose the </w:t>
            </w:r>
            <w:r w:rsidRPr="00C669A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as the language of instruction when teaching at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Partner institution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 shall confirm that their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C669A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___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skills are sufficient for teaching the course. The sufficient proficiency level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C669A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shall be the C1 level as per the Common European Framework of Reference for Languages: Learning, Teaching, </w:t>
            </w:r>
            <w:proofErr w:type="gramStart"/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>Assessment</w:t>
            </w:r>
            <w:proofErr w:type="gramEnd"/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 (CEFR). This may be confirmed by an international language certificate or a certificate issued by </w:t>
            </w:r>
            <w:r w:rsidRPr="00CE5714">
              <w:rPr>
                <w:rFonts w:ascii="Arial" w:hAnsi="Arial" w:cs="Arial"/>
                <w:sz w:val="20"/>
                <w:szCs w:val="20"/>
                <w:lang w:val="en-US"/>
              </w:rPr>
              <w:t>the Financial University</w:t>
            </w:r>
            <w:r w:rsidRPr="001044C3">
              <w:rPr>
                <w:rFonts w:ascii="Arial" w:hAnsi="Arial" w:cs="Arial"/>
                <w:sz w:val="20"/>
                <w:szCs w:val="20"/>
                <w:lang w:val="en-US"/>
              </w:rPr>
              <w:t xml:space="preserve">.   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635">
              <w:rPr>
                <w:rFonts w:ascii="Arial" w:hAnsi="Arial" w:cs="Arial"/>
                <w:sz w:val="20"/>
                <w:szCs w:val="20"/>
              </w:rPr>
              <w:t>4.3. При отборе научно-педагогических работников обе Стороны обязуются не допускать дискриминации по признаку расовой принадлежности, пола, вероисповедания, сексуальной ориентации, возраста, отношения к военной обязанности, национальности, пр</w:t>
            </w:r>
            <w:r w:rsidR="00FB6922">
              <w:rPr>
                <w:rFonts w:ascii="Arial" w:hAnsi="Arial" w:cs="Arial"/>
                <w:sz w:val="20"/>
                <w:szCs w:val="20"/>
              </w:rPr>
              <w:t>оисхождения и т.</w:t>
            </w:r>
            <w:r w:rsidRPr="00C15635">
              <w:rPr>
                <w:rFonts w:ascii="Arial" w:hAnsi="Arial" w:cs="Arial"/>
                <w:sz w:val="20"/>
                <w:szCs w:val="20"/>
              </w:rPr>
              <w:t>д. Стороны обязуются обеспечить возможности для участия в программе лиц с ограниченными возможностями.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1908D9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41E0">
              <w:rPr>
                <w:rFonts w:ascii="Arial" w:hAnsi="Arial" w:cs="Arial"/>
                <w:sz w:val="20"/>
                <w:szCs w:val="20"/>
                <w:lang w:val="en-US"/>
              </w:rPr>
              <w:t xml:space="preserve">4.3.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When selecting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exchange program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participants, the Parties shall not discriminate candidates </w:t>
            </w:r>
            <w:proofErr w:type="gramStart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>on the basis of</w:t>
            </w:r>
            <w:proofErr w:type="gramEnd"/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race, gender, religion,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>sexual orientation, 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military obligations, ethnicity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origin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r w:rsidRPr="001908D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Parties shall ensure that people with disability have an opportunity to participate in the program.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6376">
              <w:rPr>
                <w:rFonts w:ascii="Arial" w:hAnsi="Arial" w:cs="Arial"/>
                <w:b/>
                <w:sz w:val="20"/>
                <w:szCs w:val="20"/>
              </w:rPr>
              <w:t>Статья 5. Маркетинг</w:t>
            </w:r>
          </w:p>
        </w:tc>
        <w:tc>
          <w:tcPr>
            <w:tcW w:w="5386" w:type="dxa"/>
          </w:tcPr>
          <w:p w:rsidR="00C15635" w:rsidRPr="006B7D56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9610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B6376">
              <w:rPr>
                <w:rFonts w:ascii="Arial" w:eastAsia="Calibri" w:hAnsi="Arial" w:cs="Arial"/>
                <w:sz w:val="20"/>
                <w:szCs w:val="20"/>
              </w:rPr>
              <w:t>.1. Содержание маркетинговых мероприятий Сторон, а также информация, опубликованная на веб-сайтах Сторон, касательно данного Соглаше</w:t>
            </w:r>
            <w:r w:rsidR="00FB6922">
              <w:rPr>
                <w:rFonts w:ascii="Arial" w:eastAsia="Calibri" w:hAnsi="Arial" w:cs="Arial"/>
                <w:sz w:val="20"/>
                <w:szCs w:val="20"/>
              </w:rPr>
              <w:t>ния будут согласованы Сторонами</w:t>
            </w:r>
            <w:r w:rsidRPr="009B637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E7CCD" w:rsidRPr="009E7CCD" w:rsidRDefault="009E7CCD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7C3BEB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6B7D56">
              <w:rPr>
                <w:rFonts w:ascii="Arial" w:hAnsi="Arial" w:cs="Arial"/>
                <w:sz w:val="20"/>
                <w:szCs w:val="20"/>
                <w:lang w:val="en-US"/>
              </w:rPr>
              <w:t>5.1.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C3BEB">
              <w:rPr>
                <w:rFonts w:ascii="Arial" w:hAnsi="Arial" w:cs="Arial"/>
                <w:sz w:val="20"/>
                <w:szCs w:val="20"/>
                <w:lang w:val="en-US"/>
              </w:rPr>
              <w:t>The content of marketing activities and information published on the websites of the Parties in relation to this Agreement shall be agreed by the Parties</w:t>
            </w:r>
            <w:proofErr w:type="gramEnd"/>
            <w:r w:rsidRPr="007C3BE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B6376">
              <w:rPr>
                <w:rFonts w:ascii="Arial" w:eastAsia="Calibri" w:hAnsi="Arial" w:cs="Arial"/>
                <w:sz w:val="20"/>
                <w:szCs w:val="20"/>
              </w:rPr>
              <w:t>.2. Каждая из Сторон в принципе соглашается с тем, что настоящее Соглашение может упоминаться как соглашение о сотрудничестве в брошюрах или на веб-сайтах Сторон в течение срока действия Соглашения.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7C3BEB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D56">
              <w:rPr>
                <w:rFonts w:ascii="Arial" w:hAnsi="Arial" w:cs="Arial"/>
                <w:sz w:val="20"/>
                <w:szCs w:val="20"/>
                <w:lang w:val="en-US"/>
              </w:rPr>
              <w:t xml:space="preserve">5.2. </w:t>
            </w:r>
            <w:r w:rsidRPr="007C3BEB">
              <w:rPr>
                <w:rFonts w:ascii="Arial" w:hAnsi="Arial" w:cs="Arial"/>
                <w:sz w:val="20"/>
                <w:szCs w:val="20"/>
                <w:lang w:val="en-US"/>
              </w:rPr>
              <w:t xml:space="preserve">Each of the Parties agrees in principle that this Agreement </w:t>
            </w:r>
            <w:proofErr w:type="gramStart"/>
            <w:r w:rsidRPr="007C3BEB">
              <w:rPr>
                <w:rFonts w:ascii="Arial" w:hAnsi="Arial" w:cs="Arial"/>
                <w:sz w:val="20"/>
                <w:szCs w:val="20"/>
                <w:lang w:val="en-US"/>
              </w:rPr>
              <w:t>may be described</w:t>
            </w:r>
            <w:proofErr w:type="gramEnd"/>
            <w:r w:rsidRPr="007C3BEB">
              <w:rPr>
                <w:rFonts w:ascii="Arial" w:hAnsi="Arial" w:cs="Arial"/>
                <w:sz w:val="20"/>
                <w:szCs w:val="20"/>
                <w:lang w:val="en-US"/>
              </w:rPr>
              <w:t xml:space="preserve"> as a cooperation agreement in corporate prospectuses or on the Parties’ corporate web sites during the term of this Agreement.   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B6376">
              <w:rPr>
                <w:rFonts w:ascii="Arial" w:eastAsia="Calibri" w:hAnsi="Arial" w:cs="Arial"/>
                <w:sz w:val="20"/>
                <w:szCs w:val="20"/>
              </w:rPr>
              <w:t xml:space="preserve">.3. Каждая из Сторон дает разрешение на использование ее наименования и логотипа для целей, связанных исключительно с реализацией </w:t>
            </w:r>
            <w:r>
              <w:rPr>
                <w:rFonts w:ascii="Arial" w:eastAsia="Calibri" w:hAnsi="Arial" w:cs="Arial"/>
                <w:sz w:val="20"/>
                <w:szCs w:val="20"/>
              </w:rPr>
              <w:t>программы академического обмена научно-педагогическими работниками</w:t>
            </w:r>
            <w:r w:rsidRPr="009B637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817CAC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7D56">
              <w:rPr>
                <w:rFonts w:ascii="Arial" w:hAnsi="Arial" w:cs="Arial"/>
                <w:sz w:val="20"/>
                <w:szCs w:val="20"/>
                <w:lang w:val="en-US"/>
              </w:rPr>
              <w:t xml:space="preserve">5.3.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ach of the Parties gives the consent for using its name and logo exclusively for the purposes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implementing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 staff exchange program.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Tr="009E7CCD">
        <w:tc>
          <w:tcPr>
            <w:tcW w:w="5104" w:type="dxa"/>
          </w:tcPr>
          <w:p w:rsidR="00C15635" w:rsidRPr="009B6376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376">
              <w:rPr>
                <w:rFonts w:ascii="Arial" w:hAnsi="Arial" w:cs="Arial"/>
                <w:b/>
                <w:sz w:val="20"/>
                <w:szCs w:val="20"/>
              </w:rPr>
              <w:t>Статья 6. Контакты</w:t>
            </w:r>
          </w:p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:rsidR="00C15635" w:rsidRPr="0096107B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9610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</w:t>
            </w:r>
            <w:r w:rsidRPr="009610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  <w:r w:rsidRPr="009610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 Со стороны Финансового университета контактными структурными подразделениями выступают:</w:t>
            </w:r>
          </w:p>
        </w:tc>
        <w:tc>
          <w:tcPr>
            <w:tcW w:w="5386" w:type="dxa"/>
          </w:tcPr>
          <w:p w:rsidR="00C15635" w:rsidRPr="001C77A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6.1.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Financial</w:t>
            </w: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Contact</w:t>
            </w: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6.1.1. Структурное подразделение, ответственное за реализацию программы – </w:t>
            </w:r>
            <w:r w:rsidRPr="0087593D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</w:p>
        </w:tc>
        <w:tc>
          <w:tcPr>
            <w:tcW w:w="5386" w:type="dxa"/>
          </w:tcPr>
          <w:p w:rsidR="00C15635" w:rsidRPr="009E7CCD" w:rsidRDefault="00C15635" w:rsidP="009E7C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6.1.1. </w:t>
            </w:r>
            <w:r w:rsidRPr="00232552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shall be the department in charge for the program implementation; 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9B6376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376">
              <w:rPr>
                <w:rFonts w:ascii="Arial" w:hAnsi="Arial" w:cs="Arial"/>
                <w:sz w:val="20"/>
                <w:szCs w:val="20"/>
              </w:rPr>
              <w:t xml:space="preserve">6.1.2. Административное сопровождение программы – Управление международного сотрудничества, </w:t>
            </w:r>
            <w:r w:rsidRPr="009B637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B6376">
              <w:rPr>
                <w:rFonts w:ascii="Arial" w:hAnsi="Arial" w:cs="Arial"/>
                <w:sz w:val="20"/>
                <w:szCs w:val="20"/>
              </w:rPr>
              <w:t>-</w:t>
            </w:r>
            <w:r w:rsidRPr="009B637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B637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4" w:history="1">
              <w:r w:rsidRPr="009B6376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inter</w:t>
              </w:r>
              <w:r w:rsidRPr="009B6376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Pr="009B6376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fa</w:t>
              </w:r>
              <w:r w:rsidRPr="009B6376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Pr="009B6376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C15635" w:rsidRP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Pr="00232552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6.1.2.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Relations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Office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shall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charge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ogram administration and coordination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>e-mail: inter@fa.ru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).  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 Со стороны Партнера контактными структурными подразделениями выступают:</w:t>
            </w:r>
          </w:p>
        </w:tc>
        <w:tc>
          <w:tcPr>
            <w:tcW w:w="5386" w:type="dxa"/>
          </w:tcPr>
          <w:p w:rsidR="00C15635" w:rsidRPr="007C074F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6.2.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Partner</w:t>
            </w: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 Department Contact Information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6.2.1. </w:t>
            </w:r>
            <w:r w:rsidRPr="009B6376">
              <w:rPr>
                <w:rFonts w:ascii="Arial" w:hAnsi="Arial" w:cs="Arial"/>
                <w:sz w:val="20"/>
                <w:szCs w:val="20"/>
              </w:rPr>
              <w:t xml:space="preserve">Структурное подразделение, ответственное за реализацию программы – </w:t>
            </w:r>
            <w:r w:rsidRPr="00FE03B4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</w:p>
        </w:tc>
        <w:tc>
          <w:tcPr>
            <w:tcW w:w="5386" w:type="dxa"/>
          </w:tcPr>
          <w:p w:rsidR="00C15635" w:rsidRPr="009E7CCD" w:rsidRDefault="00C15635" w:rsidP="009E7CC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107B">
              <w:rPr>
                <w:rFonts w:ascii="Arial" w:hAnsi="Arial" w:cs="Arial"/>
                <w:sz w:val="20"/>
                <w:szCs w:val="20"/>
                <w:lang w:val="en-US"/>
              </w:rPr>
              <w:t xml:space="preserve">6.2.1. </w:t>
            </w:r>
            <w:r w:rsidRPr="00232552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  <w:r w:rsidRPr="002325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shall be the department in charge for the program implementation;   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6.2.2. Административное сопровождение программы – </w:t>
            </w:r>
            <w:r w:rsidRPr="0087593D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</w:p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E7CCD" w:rsidRDefault="009E7CCD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E7CCD" w:rsidRDefault="009E7CCD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:rsidR="00C15635" w:rsidRPr="007C074F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6.2.2. </w:t>
            </w:r>
            <w:r w:rsidRPr="007C074F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  <w:r w:rsidRPr="007C074F">
              <w:rPr>
                <w:rFonts w:ascii="Arial" w:hAnsi="Arial" w:cs="Arial"/>
                <w:sz w:val="20"/>
                <w:szCs w:val="20"/>
                <w:lang w:val="en-US"/>
              </w:rPr>
              <w:t xml:space="preserve"> shall be in charge of program administration and coordination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376">
              <w:rPr>
                <w:rFonts w:ascii="Arial" w:hAnsi="Arial" w:cs="Arial"/>
                <w:b/>
                <w:sz w:val="20"/>
                <w:szCs w:val="20"/>
              </w:rPr>
              <w:t>Статья 7. Срок действия и прекращение действия соглашения</w:t>
            </w:r>
          </w:p>
          <w:p w:rsidR="003B69F7" w:rsidRPr="009E7CCD" w:rsidRDefault="003B69F7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b/>
                <w:sz w:val="20"/>
                <w:szCs w:val="20"/>
                <w:lang w:val="en-US"/>
              </w:rPr>
              <w:t>Article</w:t>
            </w:r>
            <w:r w:rsidRPr="000158C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7.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 and Termination of the Agreement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1A3C23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FB">
              <w:rPr>
                <w:rFonts w:ascii="Arial" w:hAnsi="Arial" w:cs="Arial"/>
                <w:sz w:val="20"/>
                <w:szCs w:val="20"/>
              </w:rPr>
              <w:t>7.1. Настоящее Соглашение вступает в силу со дня его подписания и действует в течение пяти (5) лет при условии, что ни одна из Сторон Соглашения не расторгла Соглашение ранее этого срока, уведомив о таковом намерении другую Сторону в письменной форме не менее чем за шесть (6) месяцев до предполагаемой даты расторжения Соглашения.</w:t>
            </w:r>
          </w:p>
        </w:tc>
        <w:tc>
          <w:tcPr>
            <w:tcW w:w="5386" w:type="dxa"/>
          </w:tcPr>
          <w:p w:rsidR="00C15635" w:rsidRPr="00817CAC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8CA">
              <w:rPr>
                <w:rFonts w:ascii="Arial" w:hAnsi="Arial" w:cs="Arial"/>
                <w:sz w:val="20"/>
                <w:szCs w:val="20"/>
                <w:lang w:val="en-US"/>
              </w:rPr>
              <w:t xml:space="preserve">7.1.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The Agreement shall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come into force as of the date of its signing and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>be valid for the period of five (5) years from that date unless terminated early by either Party upon at least six (6) months written notice to the other Party.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FB">
              <w:rPr>
                <w:rFonts w:ascii="Arial" w:hAnsi="Arial" w:cs="Arial"/>
                <w:sz w:val="20"/>
                <w:szCs w:val="20"/>
              </w:rPr>
              <w:t>7.2. Действуя по взаимной договоренности, сотрудничающие образовательные организации могут вносить изменения в данное Соглашение в любое время.</w:t>
            </w:r>
          </w:p>
        </w:tc>
        <w:tc>
          <w:tcPr>
            <w:tcW w:w="5386" w:type="dxa"/>
          </w:tcPr>
          <w:p w:rsidR="00C15635" w:rsidRPr="00F8001F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7.2.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cooperating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Parties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may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make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amendments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Agreement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 any moment 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>upon mutual consent of the Parties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00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FB">
              <w:rPr>
                <w:rFonts w:ascii="Arial" w:hAnsi="Arial" w:cs="Arial"/>
                <w:sz w:val="20"/>
                <w:szCs w:val="20"/>
              </w:rPr>
              <w:t xml:space="preserve">7.3. При прекращении действия настоящего Соглашения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научно-педагогические работники, участвующие в программе академического обмена </w:t>
            </w:r>
            <w:r w:rsidRPr="000F5DFB">
              <w:rPr>
                <w:rFonts w:ascii="Arial" w:hAnsi="Arial" w:cs="Arial"/>
                <w:sz w:val="20"/>
                <w:szCs w:val="20"/>
              </w:rPr>
              <w:t>на дату прекращения действия Соглашения, будут иметь во</w:t>
            </w:r>
            <w:r>
              <w:rPr>
                <w:rFonts w:ascii="Arial" w:hAnsi="Arial" w:cs="Arial"/>
                <w:sz w:val="20"/>
                <w:szCs w:val="20"/>
              </w:rPr>
              <w:t>зможность завершить утвержденную программу пребывания.</w:t>
            </w:r>
          </w:p>
        </w:tc>
        <w:tc>
          <w:tcPr>
            <w:tcW w:w="5386" w:type="dxa"/>
          </w:tcPr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58CA">
              <w:rPr>
                <w:rFonts w:ascii="Arial" w:hAnsi="Arial" w:cs="Arial"/>
                <w:sz w:val="20"/>
                <w:szCs w:val="20"/>
                <w:lang w:val="en-US"/>
              </w:rPr>
              <w:t xml:space="preserve">7.3.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Termination of this Agreement shall permit any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teaching staff member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participating in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Exchange Program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date of the termination </w:t>
            </w:r>
            <w:proofErr w:type="gramStart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fully perform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work in accordance with the agreed visit program.</w:t>
            </w:r>
          </w:p>
        </w:tc>
      </w:tr>
      <w:tr w:rsidR="00C15635" w:rsidRPr="00F72611" w:rsidTr="009E7CCD">
        <w:tc>
          <w:tcPr>
            <w:tcW w:w="5104" w:type="dxa"/>
          </w:tcPr>
          <w:p w:rsidR="00C15635" w:rsidRPr="009E7CCD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FB">
              <w:rPr>
                <w:rFonts w:ascii="Arial" w:hAnsi="Arial" w:cs="Arial"/>
                <w:sz w:val="20"/>
                <w:szCs w:val="20"/>
              </w:rPr>
              <w:t xml:space="preserve">7.4. Положения настоящего Соглашения регулируются и толкуются в соответствии с правом </w:t>
            </w:r>
            <w:r w:rsidRPr="00FE03B4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Pr="000F5DFB">
              <w:rPr>
                <w:rFonts w:ascii="Arial" w:hAnsi="Arial" w:cs="Arial"/>
                <w:sz w:val="20"/>
                <w:szCs w:val="20"/>
              </w:rPr>
              <w:t xml:space="preserve"> и правом Российской Федерации без учета любых коллизионных норм. В случае </w:t>
            </w:r>
            <w:proofErr w:type="spellStart"/>
            <w:r w:rsidRPr="000F5DFB">
              <w:rPr>
                <w:rFonts w:ascii="Arial" w:hAnsi="Arial" w:cs="Arial"/>
                <w:sz w:val="20"/>
                <w:szCs w:val="20"/>
              </w:rPr>
              <w:t>недостижения</w:t>
            </w:r>
            <w:proofErr w:type="spellEnd"/>
            <w:r w:rsidRPr="000F5DFB">
              <w:rPr>
                <w:rFonts w:ascii="Arial" w:hAnsi="Arial" w:cs="Arial"/>
                <w:sz w:val="20"/>
                <w:szCs w:val="20"/>
              </w:rPr>
              <w:t xml:space="preserve"> согласия во внесудебном порядке споры, вытекающие из настоящего Соглашения, будут разрешаться в судебном порядке в судах г. </w:t>
            </w:r>
            <w:r w:rsidRPr="00FE03B4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Pr="000F5DFB">
              <w:rPr>
                <w:rFonts w:ascii="Arial" w:hAnsi="Arial" w:cs="Arial"/>
                <w:sz w:val="20"/>
                <w:szCs w:val="20"/>
              </w:rPr>
              <w:t xml:space="preserve"> в части исполнения настоящего Соглашения на территории </w:t>
            </w:r>
            <w:r w:rsidRPr="00FE03B4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Pr="000F5DFB">
              <w:rPr>
                <w:rFonts w:ascii="Arial" w:hAnsi="Arial" w:cs="Arial"/>
                <w:sz w:val="20"/>
                <w:szCs w:val="20"/>
              </w:rPr>
              <w:t xml:space="preserve"> и в арбитражном суде г. Москвы в части исполнения настоящего Соглашения на территории Российской Федерации.</w:t>
            </w:r>
          </w:p>
        </w:tc>
        <w:tc>
          <w:tcPr>
            <w:tcW w:w="5386" w:type="dxa"/>
          </w:tcPr>
          <w:p w:rsidR="00C15635" w:rsidRPr="00817CAC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5663">
              <w:rPr>
                <w:rFonts w:ascii="Arial" w:hAnsi="Arial" w:cs="Arial"/>
                <w:sz w:val="20"/>
                <w:szCs w:val="20"/>
                <w:lang w:val="en-US"/>
              </w:rPr>
              <w:t xml:space="preserve">7.4.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This Agreement </w:t>
            </w:r>
            <w:proofErr w:type="gramStart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shall be governed by and construed under the laws of </w:t>
            </w:r>
            <w:r w:rsidRPr="000465DF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XXX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and under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laws of the Russian Federation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>, without regard to any conflict of laws principles</w:t>
            </w:r>
            <w:proofErr w:type="gramEnd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817CAC">
              <w:rPr>
                <w:lang w:val="en-US"/>
              </w:rPr>
              <w:t xml:space="preserve"> </w:t>
            </w:r>
            <w:proofErr w:type="gramStart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Should the Parties fail to resolve the disputes arising out of this Agreement through out-of-court settlement, such disputes shall be referred to the court of law in the country of origin of </w:t>
            </w:r>
            <w:r w:rsidRPr="001F566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XXX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if such a court has jurisdiction over such disputes in the territory of </w:t>
            </w:r>
            <w:r w:rsidRPr="001F566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ХХХ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and in the Arbitration Court in Moscow if such a court has jurisdiction over such disputes in the territory of the Russian Federation.</w:t>
            </w:r>
            <w:proofErr w:type="gramEnd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F72611" w:rsidTr="009E7CCD">
        <w:tc>
          <w:tcPr>
            <w:tcW w:w="5104" w:type="dxa"/>
          </w:tcPr>
          <w:p w:rsidR="00C15635" w:rsidRPr="000F5DFB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DFB">
              <w:rPr>
                <w:rFonts w:ascii="Arial" w:hAnsi="Arial" w:cs="Arial"/>
                <w:sz w:val="20"/>
                <w:szCs w:val="20"/>
              </w:rPr>
              <w:t>7.5. Настоящее Соглашение составлено в двух экземплярах на английском и русском языках, по одному экземпляру на русском и английском для каждой Стороны, причем каждый экземпляр имеет равную юридическую силу. В</w:t>
            </w:r>
            <w:r w:rsidR="00FB6922">
              <w:rPr>
                <w:rFonts w:ascii="Arial" w:hAnsi="Arial" w:cs="Arial"/>
                <w:sz w:val="20"/>
                <w:szCs w:val="20"/>
              </w:rPr>
              <w:t> </w:t>
            </w:r>
            <w:r w:rsidRPr="000F5DFB">
              <w:rPr>
                <w:rFonts w:ascii="Arial" w:hAnsi="Arial" w:cs="Arial"/>
                <w:sz w:val="20"/>
                <w:szCs w:val="20"/>
              </w:rPr>
              <w:t>сл</w:t>
            </w:r>
            <w:r>
              <w:rPr>
                <w:rFonts w:ascii="Arial" w:hAnsi="Arial" w:cs="Arial"/>
                <w:sz w:val="20"/>
                <w:szCs w:val="20"/>
              </w:rPr>
              <w:t xml:space="preserve">учае возникновения разногласий </w:t>
            </w:r>
            <w:r w:rsidRPr="000F5DFB">
              <w:rPr>
                <w:rFonts w:ascii="Arial" w:hAnsi="Arial" w:cs="Arial"/>
                <w:sz w:val="20"/>
                <w:szCs w:val="20"/>
              </w:rPr>
              <w:t>преимущество имеет англоязычная версия.</w:t>
            </w:r>
          </w:p>
          <w:p w:rsidR="00C15635" w:rsidRDefault="00C15635" w:rsidP="00C1563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:rsidR="00C15635" w:rsidRPr="00E1048F" w:rsidRDefault="00C15635" w:rsidP="00C1563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48F">
              <w:rPr>
                <w:rFonts w:ascii="Arial" w:hAnsi="Arial" w:cs="Arial"/>
                <w:sz w:val="20"/>
                <w:szCs w:val="20"/>
                <w:lang w:val="en-US"/>
              </w:rPr>
              <w:t xml:space="preserve">7.5.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This Agreement </w:t>
            </w:r>
            <w:proofErr w:type="gramStart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>is made up</w:t>
            </w:r>
            <w:proofErr w:type="gramEnd"/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in two copies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English 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>and Russian, one copy in Russian 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English</w:t>
            </w:r>
            <w:r w:rsidRPr="00817CAC">
              <w:rPr>
                <w:rFonts w:ascii="Arial" w:hAnsi="Arial" w:cs="Arial"/>
                <w:sz w:val="20"/>
                <w:szCs w:val="20"/>
                <w:lang w:val="en-US"/>
              </w:rPr>
              <w:t xml:space="preserve"> for each of the Parties, each having equal legal force. </w:t>
            </w:r>
            <w:r w:rsidRPr="00E1048F">
              <w:rPr>
                <w:rFonts w:ascii="Arial" w:hAnsi="Arial" w:cs="Arial"/>
                <w:sz w:val="20"/>
                <w:szCs w:val="20"/>
                <w:lang w:val="en-US"/>
              </w:rPr>
              <w:t xml:space="preserve">In case of any inconsistencies,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E1048F">
              <w:rPr>
                <w:rFonts w:ascii="Arial" w:hAnsi="Arial" w:cs="Arial"/>
                <w:sz w:val="20"/>
                <w:szCs w:val="20"/>
                <w:lang w:val="en-US"/>
              </w:rPr>
              <w:t xml:space="preserve"> text shall prevail.</w:t>
            </w:r>
          </w:p>
          <w:p w:rsidR="00C15635" w:rsidRDefault="00C15635" w:rsidP="00C156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15635" w:rsidRPr="00D2765E" w:rsidTr="009E7CCD">
        <w:tc>
          <w:tcPr>
            <w:tcW w:w="5104" w:type="dxa"/>
          </w:tcPr>
          <w:p w:rsidR="00C15635" w:rsidRPr="00D2765E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val="en-GB" w:eastAsia="ru-RU"/>
              </w:rPr>
            </w:pPr>
            <w:r w:rsidRPr="00D2765E">
              <w:rPr>
                <w:rFonts w:ascii="Arial" w:eastAsia="MS ??" w:hAnsi="Arial" w:cs="Times New Roman"/>
                <w:b/>
                <w:sz w:val="20"/>
                <w:szCs w:val="24"/>
                <w:lang w:val="en-GB" w:eastAsia="ru-RU"/>
              </w:rPr>
              <w:t>SIGNATURES</w:t>
            </w:r>
          </w:p>
        </w:tc>
        <w:tc>
          <w:tcPr>
            <w:tcW w:w="5386" w:type="dxa"/>
          </w:tcPr>
          <w:p w:rsidR="00C15635" w:rsidRPr="00D2765E" w:rsidRDefault="00C15635" w:rsidP="00C15635">
            <w:pPr>
              <w:jc w:val="both"/>
              <w:rPr>
                <w:rFonts w:ascii="Arial" w:eastAsia="MS ??" w:hAnsi="Arial" w:cs="Times New Roman"/>
                <w:b/>
                <w:sz w:val="20"/>
                <w:szCs w:val="24"/>
                <w:lang w:eastAsia="ru-RU"/>
              </w:rPr>
            </w:pPr>
            <w:r w:rsidRPr="00BF56E4">
              <w:rPr>
                <w:rFonts w:ascii="Arial" w:eastAsia="MS ??" w:hAnsi="Arial" w:cs="Times New Roman"/>
                <w:b/>
                <w:sz w:val="20"/>
                <w:szCs w:val="24"/>
                <w:lang w:eastAsia="ru-RU"/>
              </w:rPr>
              <w:t>ПОДПИСИ</w:t>
            </w:r>
          </w:p>
          <w:p w:rsidR="00C15635" w:rsidRPr="00D2765E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</w:tc>
      </w:tr>
      <w:tr w:rsidR="00C15635" w:rsidRPr="00BF56E4" w:rsidTr="009E7CCD">
        <w:tc>
          <w:tcPr>
            <w:tcW w:w="5104" w:type="dxa"/>
          </w:tcPr>
          <w:p w:rsidR="00C15635" w:rsidRPr="00743CC6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6F46">
              <w:rPr>
                <w:rFonts w:ascii="Arial" w:hAnsi="Arial" w:cs="Arial"/>
                <w:b/>
                <w:sz w:val="20"/>
                <w:szCs w:val="20"/>
                <w:lang w:val="en-US"/>
              </w:rPr>
              <w:t>XXX</w:t>
            </w:r>
          </w:p>
          <w:p w:rsidR="00C15635" w:rsidRPr="00743CC6" w:rsidRDefault="00C15635" w:rsidP="00C1563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15635" w:rsidRPr="00743CC6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</w:p>
          <w:p w:rsidR="00C15635" w:rsidRPr="00743CC6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  <w:p w:rsidR="00C15635" w:rsidRPr="00743CC6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  <w:p w:rsidR="00C15635" w:rsidRPr="00743CC6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highlight w:val="yellow"/>
                <w:lang w:eastAsia="ru-RU"/>
              </w:rPr>
            </w:pPr>
            <w:r w:rsidRPr="001A7302">
              <w:rPr>
                <w:rFonts w:ascii="Arial" w:eastAsia="MS ??" w:hAnsi="Arial" w:cs="Times New Roman"/>
                <w:bCs/>
                <w:sz w:val="20"/>
                <w:szCs w:val="24"/>
                <w:highlight w:val="yellow"/>
                <w:lang w:eastAsia="ru-RU" w:bidi="en-US"/>
              </w:rPr>
              <w:t>ХХХ</w:t>
            </w:r>
          </w:p>
          <w:p w:rsidR="00C15635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  <w:r w:rsidRPr="001A7302">
              <w:rPr>
                <w:rFonts w:ascii="Arial" w:eastAsia="MS ??" w:hAnsi="Arial" w:cs="Times New Roman"/>
                <w:sz w:val="20"/>
                <w:szCs w:val="24"/>
                <w:highlight w:val="yellow"/>
                <w:lang w:eastAsia="ru-RU"/>
              </w:rPr>
              <w:t>ХХХ</w:t>
            </w:r>
          </w:p>
          <w:p w:rsidR="00743CC6" w:rsidRPr="00743CC6" w:rsidRDefault="00743CC6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  <w:p w:rsidR="00C15635" w:rsidRPr="00743CC6" w:rsidRDefault="00C11F73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 xml:space="preserve">Дата: __________________ </w:t>
            </w:r>
            <w:r w:rsidR="00F72611"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>202</w:t>
            </w:r>
            <w:r w:rsidR="00F72611" w:rsidRPr="00F72611"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>3</w:t>
            </w:r>
            <w:r w:rsidR="00743CC6" w:rsidRPr="005911CF"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 xml:space="preserve"> </w:t>
            </w:r>
            <w:r w:rsidR="00743CC6" w:rsidRPr="00BF56E4"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>г.</w:t>
            </w:r>
          </w:p>
          <w:p w:rsidR="00C15635" w:rsidRPr="00D21240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15635" w:rsidRPr="00303E0E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XXX</w:t>
            </w:r>
          </w:p>
          <w:p w:rsidR="00C15635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  <w:lang w:bidi="ru-RU"/>
              </w:rPr>
            </w:pPr>
          </w:p>
          <w:p w:rsidR="00C15635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  <w:lang w:bidi="ru-RU"/>
              </w:rPr>
            </w:pPr>
          </w:p>
          <w:p w:rsidR="00C15635" w:rsidRPr="00A47ACA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  <w:lang w:bidi="ru-RU"/>
              </w:rPr>
            </w:pPr>
          </w:p>
          <w:p w:rsidR="00C15635" w:rsidRPr="00A47ACA" w:rsidRDefault="00C15635" w:rsidP="00C15635">
            <w:pPr>
              <w:pBdr>
                <w:bottom w:val="single" w:sz="12" w:space="1" w:color="auto"/>
              </w:pBd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  <w:p w:rsidR="00C15635" w:rsidRPr="001A7302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highlight w:val="yellow"/>
                <w:lang w:eastAsia="ru-RU" w:bidi="ru-RU"/>
              </w:rPr>
            </w:pPr>
            <w:r w:rsidRPr="001A7302">
              <w:rPr>
                <w:rFonts w:ascii="Arial" w:eastAsia="MS ??" w:hAnsi="Arial" w:cs="Times New Roman"/>
                <w:sz w:val="20"/>
                <w:szCs w:val="24"/>
                <w:highlight w:val="yellow"/>
                <w:lang w:eastAsia="ru-RU" w:bidi="ru-RU"/>
              </w:rPr>
              <w:t>ХХХ</w:t>
            </w:r>
          </w:p>
          <w:p w:rsidR="00C15635" w:rsidRPr="00AA7FBF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 w:bidi="ru-RU"/>
              </w:rPr>
            </w:pPr>
            <w:r w:rsidRPr="001A7302">
              <w:rPr>
                <w:rFonts w:ascii="Arial" w:eastAsia="MS ??" w:hAnsi="Arial" w:cs="Times New Roman"/>
                <w:sz w:val="20"/>
                <w:szCs w:val="24"/>
                <w:highlight w:val="yellow"/>
                <w:lang w:eastAsia="ru-RU" w:bidi="ru-RU"/>
              </w:rPr>
              <w:t>ХХХ</w:t>
            </w:r>
          </w:p>
          <w:p w:rsidR="00C15635" w:rsidRPr="005911CF" w:rsidRDefault="00C15635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</w:p>
          <w:p w:rsidR="00C15635" w:rsidRPr="00BF56E4" w:rsidRDefault="00743CC6" w:rsidP="00C15635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MS ??" w:hAnsi="Arial" w:cs="Times New Roman"/>
                <w:sz w:val="20"/>
                <w:szCs w:val="24"/>
                <w:lang w:val="en-GB" w:eastAsia="ru-RU"/>
              </w:rPr>
              <w:t>Date</w:t>
            </w:r>
            <w:r w:rsidR="00F72611">
              <w:rPr>
                <w:rFonts w:ascii="Arial" w:eastAsia="MS ??" w:hAnsi="Arial" w:cs="Times New Roman"/>
                <w:sz w:val="20"/>
                <w:szCs w:val="24"/>
                <w:lang w:eastAsia="ru-RU"/>
              </w:rPr>
              <w:t>: __________________ 2023</w:t>
            </w:r>
          </w:p>
        </w:tc>
      </w:tr>
      <w:tr w:rsidR="00743CC6" w:rsidRPr="00BF56E4" w:rsidTr="009E7CCD">
        <w:tc>
          <w:tcPr>
            <w:tcW w:w="5104" w:type="dxa"/>
          </w:tcPr>
          <w:p w:rsidR="00743CC6" w:rsidRPr="00BD6461" w:rsidRDefault="00743CC6" w:rsidP="00743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019"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</w:t>
            </w:r>
            <w:r w:rsidRPr="00BD64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7019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43CC6" w:rsidRPr="000C0DC5" w:rsidRDefault="00743CC6" w:rsidP="00743CC6">
            <w:pPr>
              <w:jc w:val="both"/>
              <w:rPr>
                <w:rFonts w:ascii="Arial" w:eastAsia="MS ??" w:hAnsi="Arial"/>
                <w:sz w:val="20"/>
                <w:lang w:bidi="ru-RU"/>
              </w:rPr>
            </w:pPr>
            <w:r w:rsidRPr="000C0DC5">
              <w:rPr>
                <w:rFonts w:ascii="Arial" w:eastAsia="MS ??" w:hAnsi="Arial"/>
                <w:sz w:val="20"/>
                <w:lang w:bidi="ru-RU"/>
              </w:rPr>
              <w:t>Каменева Екатерина Анатольевна</w:t>
            </w:r>
          </w:p>
          <w:p w:rsidR="00743CC6" w:rsidRPr="00325659" w:rsidRDefault="00743CC6" w:rsidP="00743CC6">
            <w:pPr>
              <w:jc w:val="both"/>
              <w:rPr>
                <w:rFonts w:ascii="Arial" w:eastAsia="MS ??" w:hAnsi="Arial" w:cs="Times New Roman"/>
                <w:sz w:val="20"/>
                <w:szCs w:val="24"/>
                <w:lang w:bidi="ru-RU"/>
              </w:rPr>
            </w:pPr>
            <w:r w:rsidRPr="000C0DC5">
              <w:rPr>
                <w:rFonts w:ascii="Arial" w:eastAsia="MS ??" w:hAnsi="Arial"/>
                <w:sz w:val="20"/>
                <w:lang w:bidi="ru-RU"/>
              </w:rPr>
              <w:t>Проректор по учебной и методической работе</w:t>
            </w:r>
          </w:p>
          <w:p w:rsidR="00743CC6" w:rsidRDefault="00743CC6" w:rsidP="0074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43CC6" w:rsidRPr="00743CC6" w:rsidRDefault="00743CC6" w:rsidP="00743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 </w:t>
            </w:r>
            <w:r w:rsidRPr="004B3D97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F72611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743CC6" w:rsidRPr="000C0DC5" w:rsidRDefault="00743CC6" w:rsidP="00743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:rsidR="00743CC6" w:rsidRPr="00BD6461" w:rsidRDefault="00743CC6" w:rsidP="00743C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7019">
              <w:rPr>
                <w:rFonts w:ascii="Arial" w:hAnsi="Arial" w:cs="Arial"/>
                <w:b/>
                <w:sz w:val="20"/>
                <w:szCs w:val="20"/>
              </w:rPr>
              <w:t>Финансовый</w:t>
            </w:r>
            <w:r w:rsidRPr="00BD64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37019">
              <w:rPr>
                <w:rFonts w:ascii="Arial" w:hAnsi="Arial" w:cs="Arial"/>
                <w:b/>
                <w:sz w:val="20"/>
                <w:szCs w:val="20"/>
              </w:rPr>
              <w:t>университет</w:t>
            </w: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3CC6" w:rsidRPr="00BD6461" w:rsidRDefault="00743CC6" w:rsidP="00743CC6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3CC6" w:rsidRDefault="00743CC6" w:rsidP="00743CC6">
            <w:pPr>
              <w:rPr>
                <w:rFonts w:ascii="Arial" w:eastAsia="MS ??" w:hAnsi="Arial"/>
                <w:sz w:val="20"/>
                <w:lang w:val="en-US" w:bidi="en-US"/>
              </w:rPr>
            </w:pPr>
            <w:r w:rsidRPr="000C0DC5">
              <w:rPr>
                <w:rFonts w:ascii="Arial" w:eastAsia="MS ??" w:hAnsi="Arial"/>
                <w:sz w:val="20"/>
                <w:lang w:val="en-US" w:bidi="en-US"/>
              </w:rPr>
              <w:t>Ekaterina A. Kameneva</w:t>
            </w:r>
          </w:p>
          <w:p w:rsidR="00743CC6" w:rsidRDefault="00743CC6" w:rsidP="00743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0DC5">
              <w:rPr>
                <w:rFonts w:ascii="Arial" w:eastAsia="MS ??" w:hAnsi="Arial"/>
                <w:sz w:val="20"/>
                <w:lang w:val="en-US" w:bidi="en-US"/>
              </w:rPr>
              <w:t xml:space="preserve">Vice-Rector for Academic Affairs </w:t>
            </w:r>
          </w:p>
          <w:p w:rsidR="00743CC6" w:rsidRDefault="00743CC6" w:rsidP="00743C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3CC6" w:rsidRPr="00340834" w:rsidRDefault="00743CC6" w:rsidP="003B6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Pr="0034083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340834">
              <w:rPr>
                <w:rFonts w:ascii="Arial" w:hAnsi="Arial" w:cs="Arial"/>
                <w:sz w:val="20"/>
                <w:szCs w:val="20"/>
                <w:lang w:val="en-US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202</w:t>
            </w:r>
            <w:r w:rsidR="00F72611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DB18D9" w:rsidRDefault="00DB18D9" w:rsidP="00DB18D9">
      <w:pPr>
        <w:rPr>
          <w:rFonts w:ascii="Arial" w:hAnsi="Arial" w:cs="Arial"/>
          <w:b/>
          <w:sz w:val="20"/>
          <w:szCs w:val="20"/>
          <w:lang w:val="en-US"/>
        </w:rPr>
      </w:pPr>
    </w:p>
    <w:sectPr w:rsidR="00DB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35"/>
    <w:rsid w:val="00054804"/>
    <w:rsid w:val="00067380"/>
    <w:rsid w:val="001A2F82"/>
    <w:rsid w:val="00322335"/>
    <w:rsid w:val="003B0763"/>
    <w:rsid w:val="003B69F7"/>
    <w:rsid w:val="004840F9"/>
    <w:rsid w:val="004D5824"/>
    <w:rsid w:val="00551795"/>
    <w:rsid w:val="00661965"/>
    <w:rsid w:val="006E3A11"/>
    <w:rsid w:val="00743CC6"/>
    <w:rsid w:val="007B4AB7"/>
    <w:rsid w:val="008B3AB8"/>
    <w:rsid w:val="009D042A"/>
    <w:rsid w:val="009E7CCD"/>
    <w:rsid w:val="00BD6461"/>
    <w:rsid w:val="00BE1C04"/>
    <w:rsid w:val="00BF286A"/>
    <w:rsid w:val="00C11F73"/>
    <w:rsid w:val="00C15635"/>
    <w:rsid w:val="00CC3F5C"/>
    <w:rsid w:val="00DB18D9"/>
    <w:rsid w:val="00E04D77"/>
    <w:rsid w:val="00E10497"/>
    <w:rsid w:val="00F5160A"/>
    <w:rsid w:val="00F72611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AFD7"/>
  <w15:docId w15:val="{70E12617-48BE-4CE9-AAC4-E0B1DC3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6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Бобина Галина Валерьевна</dc:creator>
  <cp:lastModifiedBy>Шалина Дарья Евгеньевна</cp:lastModifiedBy>
  <cp:revision>3</cp:revision>
  <cp:lastPrinted>2022-07-06T13:35:00Z</cp:lastPrinted>
  <dcterms:created xsi:type="dcterms:W3CDTF">2023-08-03T10:21:00Z</dcterms:created>
  <dcterms:modified xsi:type="dcterms:W3CDTF">2023-08-09T13:22:00Z</dcterms:modified>
</cp:coreProperties>
</file>